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1" w:name="_Toc506210072"/>
      <w:r>
        <w:rPr>
          <w:b/>
        </w:rPr>
        <w:t>1 Úvodní ustanovení</w:t>
      </w:r>
      <w:bookmarkEnd w:id="1"/>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5" w:name="_Toc506210074"/>
      <w:r>
        <w:rPr>
          <w:b/>
        </w:rPr>
        <w:lastRenderedPageBreak/>
        <w:t>3 Obecné zásady</w:t>
      </w:r>
      <w:bookmarkEnd w:id="5"/>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lastRenderedPageBreak/>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CF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CF7">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5CDE66"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C5B6C7"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CF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CF7">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97D6B4"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008B82"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07CF7"/>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330B24BC-7D0B-4823-BC84-E32B687A7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1</TotalTime>
  <Pages>2</Pages>
  <Words>955</Words>
  <Characters>5641</Characters>
  <Application>Microsoft Office Word</Application>
  <DocSecurity>4</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cp:revision>
  <cp:lastPrinted>2022-07-18T11:56:00Z</cp:lastPrinted>
  <dcterms:created xsi:type="dcterms:W3CDTF">2022-07-18T11:57:00Z</dcterms:created>
  <dcterms:modified xsi:type="dcterms:W3CDTF">2022-07-18T11:57:00Z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